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EDEE" w14:textId="7DF4E7A4" w:rsidR="007E60B1" w:rsidRPr="00EF131D" w:rsidRDefault="00EF131D" w:rsidP="002512E2">
      <w:pPr>
        <w:pStyle w:val="Heading1"/>
        <w:rPr>
          <w:rFonts w:ascii="Myriad Pro" w:hAnsi="Myriad Pro"/>
          <w:b/>
          <w:bCs/>
          <w:sz w:val="32"/>
          <w:szCs w:val="32"/>
        </w:rPr>
      </w:pPr>
      <w:r w:rsidRPr="00EF131D">
        <w:rPr>
          <w:rFonts w:ascii="Myriad Pro" w:hAnsi="Myriad Pro"/>
          <w:b/>
          <w:bCs/>
          <w:sz w:val="32"/>
          <w:szCs w:val="32"/>
        </w:rPr>
        <w:t>OFFSITE PHARMACIST-ADMINISTERED IMMUNISATIONS</w:t>
      </w:r>
    </w:p>
    <w:p w14:paraId="702DBFCD" w14:textId="77777777" w:rsidR="007C2DDC" w:rsidRPr="00EF131D" w:rsidRDefault="002512E2" w:rsidP="002512E2">
      <w:pPr>
        <w:rPr>
          <w:rFonts w:ascii="Myriad Pro" w:hAnsi="Myriad Pro"/>
        </w:rPr>
      </w:pPr>
      <w:r w:rsidRPr="00EF131D">
        <w:rPr>
          <w:rFonts w:ascii="Myriad Pro" w:hAnsi="Myriad Pro"/>
        </w:rPr>
        <w:t xml:space="preserve">This resource has been developed to act as a checklist for providing offsite pharmacist-administered immunisations in Queensland. </w:t>
      </w:r>
    </w:p>
    <w:p w14:paraId="4017BC68" w14:textId="5BA9CEEB" w:rsidR="002512E2" w:rsidRPr="00EF131D" w:rsidRDefault="002512E2" w:rsidP="002512E2">
      <w:pPr>
        <w:rPr>
          <w:rFonts w:ascii="Myriad Pro" w:hAnsi="Myriad Pro"/>
        </w:rPr>
      </w:pPr>
      <w:r w:rsidRPr="00EF131D">
        <w:rPr>
          <w:rFonts w:ascii="Myriad Pro" w:hAnsi="Myriad Pro"/>
        </w:rPr>
        <w:t xml:space="preserve">When providing immunisation services in a setting not listed in the </w:t>
      </w:r>
      <w:hyperlink r:id="rId7" w:history="1">
        <w:r w:rsidRPr="00EF131D">
          <w:rPr>
            <w:rStyle w:val="Hyperlink"/>
            <w:rFonts w:ascii="Myriad Pro" w:hAnsi="Myriad Pro"/>
            <w:i/>
            <w:iCs/>
          </w:rPr>
          <w:t>Extended Practice Authority – Pharmacists</w:t>
        </w:r>
      </w:hyperlink>
      <w:r w:rsidRPr="00EF131D">
        <w:rPr>
          <w:rFonts w:ascii="Myriad Pro" w:hAnsi="Myriad Pro"/>
        </w:rPr>
        <w:t>, a General Approval must be sought.</w:t>
      </w:r>
    </w:p>
    <w:p w14:paraId="461A7038" w14:textId="77777777" w:rsidR="00E82E54" w:rsidRPr="00EF131D" w:rsidRDefault="002512E2" w:rsidP="002512E2">
      <w:pPr>
        <w:rPr>
          <w:rFonts w:ascii="Myriad Pro" w:hAnsi="Myriad Pro"/>
        </w:rPr>
      </w:pPr>
      <w:r w:rsidRPr="00EF131D">
        <w:rPr>
          <w:rFonts w:ascii="Myriad Pro" w:hAnsi="Myriad Pro"/>
        </w:rPr>
        <w:t xml:space="preserve">This checklist is not exhaustive, and pharmacists are still encouraged to remain aware of legislative and professional requirements when providing immunisation services in any setting. </w:t>
      </w:r>
    </w:p>
    <w:p w14:paraId="20997BA9" w14:textId="73BA8449" w:rsidR="002512E2" w:rsidRPr="00EF131D" w:rsidRDefault="002512E2" w:rsidP="002512E2">
      <w:pPr>
        <w:rPr>
          <w:rFonts w:ascii="Myriad Pro" w:hAnsi="Myriad Pro"/>
        </w:rPr>
      </w:pPr>
      <w:r w:rsidRPr="00EF131D">
        <w:rPr>
          <w:rFonts w:ascii="Myriad Pro" w:hAnsi="Myriad Pro"/>
        </w:rPr>
        <w:t xml:space="preserve">The Pharmacy Guild of Australia, </w:t>
      </w:r>
      <w:commentRangeStart w:id="0"/>
      <w:r w:rsidRPr="00EF131D">
        <w:rPr>
          <w:rFonts w:ascii="Myriad Pro" w:hAnsi="Myriad Pro"/>
        </w:rPr>
        <w:t xml:space="preserve">Queensland’s </w:t>
      </w:r>
      <w:r w:rsidRPr="00EF131D">
        <w:rPr>
          <w:rFonts w:ascii="Myriad Pro" w:hAnsi="Myriad Pro"/>
          <w:i/>
          <w:iCs/>
        </w:rPr>
        <w:t xml:space="preserve">Immunisations in Queensland </w:t>
      </w:r>
      <w:r w:rsidR="00E82E54" w:rsidRPr="00EF131D">
        <w:rPr>
          <w:rFonts w:ascii="Myriad Pro" w:hAnsi="Myriad Pro"/>
          <w:i/>
          <w:iCs/>
        </w:rPr>
        <w:t xml:space="preserve">Community </w:t>
      </w:r>
      <w:r w:rsidRPr="00EF131D">
        <w:rPr>
          <w:rFonts w:ascii="Myriad Pro" w:hAnsi="Myriad Pro"/>
          <w:i/>
          <w:iCs/>
        </w:rPr>
        <w:t xml:space="preserve">Pharmacies </w:t>
      </w:r>
      <w:commentRangeEnd w:id="0"/>
      <w:r w:rsidR="00E82E54" w:rsidRPr="00EF131D">
        <w:rPr>
          <w:rStyle w:val="CommentReference"/>
          <w:rFonts w:ascii="Myriad Pro" w:hAnsi="Myriad Pro"/>
        </w:rPr>
        <w:commentReference w:id="0"/>
      </w:r>
      <w:r w:rsidR="00E82E54" w:rsidRPr="00EF131D">
        <w:rPr>
          <w:rFonts w:ascii="Myriad Pro" w:hAnsi="Myriad Pro"/>
        </w:rPr>
        <w:t>r</w:t>
      </w:r>
      <w:r w:rsidRPr="00EF131D">
        <w:rPr>
          <w:rFonts w:ascii="Myriad Pro" w:hAnsi="Myriad Pro"/>
        </w:rPr>
        <w:t>esource is a key tool for staying up to date.</w:t>
      </w:r>
    </w:p>
    <w:p w14:paraId="39E9E033" w14:textId="77777777" w:rsidR="00046EF2" w:rsidRPr="00EF131D" w:rsidRDefault="00046EF2" w:rsidP="00046EF2">
      <w:pPr>
        <w:spacing w:after="0"/>
        <w:rPr>
          <w:rFonts w:ascii="Myriad Pro" w:hAnsi="Myriad Pro" w:cstheme="minorHAnsi"/>
          <w:b/>
          <w:bCs/>
        </w:rPr>
      </w:pPr>
      <w:r w:rsidRPr="00EF131D">
        <w:rPr>
          <w:rFonts w:ascii="Myriad Pro" w:hAnsi="Myriad Pro" w:cstheme="minorHAnsi"/>
          <w:b/>
          <w:bCs/>
        </w:rPr>
        <w:t>Before vaccinating, pharmacists must:</w:t>
      </w:r>
    </w:p>
    <w:p w14:paraId="5C4AC9FC" w14:textId="4228D791" w:rsidR="00046EF2" w:rsidRPr="00EF131D" w:rsidRDefault="00046EF2" w:rsidP="00046EF2">
      <w:pPr>
        <w:pStyle w:val="ListParagraph"/>
        <w:numPr>
          <w:ilvl w:val="0"/>
          <w:numId w:val="1"/>
        </w:numPr>
        <w:spacing w:after="0" w:line="240" w:lineRule="auto"/>
        <w:rPr>
          <w:rFonts w:ascii="Myriad Pro" w:hAnsi="Myriad Pro" w:cstheme="minorHAnsi"/>
        </w:rPr>
      </w:pPr>
      <w:r w:rsidRPr="00EF131D">
        <w:rPr>
          <w:rFonts w:ascii="Myriad Pro" w:hAnsi="Myriad Pro" w:cstheme="minorHAnsi"/>
        </w:rPr>
        <w:t xml:space="preserve">Refer to the </w:t>
      </w:r>
      <w:hyperlink r:id="rId12" w:history="1">
        <w:r w:rsidRPr="00EF131D">
          <w:rPr>
            <w:rStyle w:val="Hyperlink"/>
            <w:rFonts w:ascii="Myriad Pro" w:hAnsi="Myriad Pro" w:cstheme="minorHAnsi"/>
          </w:rPr>
          <w:t>EPA - Pharmacists</w:t>
        </w:r>
      </w:hyperlink>
      <w:r w:rsidRPr="00EF131D">
        <w:rPr>
          <w:rFonts w:ascii="Myriad Pro" w:hAnsi="Myriad Pro" w:cstheme="minorHAnsi"/>
        </w:rPr>
        <w:t xml:space="preserve"> for the most current information about which vaccines pharmacists are authorised to administer, and under what restrictions and conditions (including age).</w:t>
      </w:r>
    </w:p>
    <w:p w14:paraId="3C33B0FF" w14:textId="77777777" w:rsidR="00046EF2" w:rsidRPr="00EF131D" w:rsidRDefault="00046EF2" w:rsidP="00046EF2">
      <w:pPr>
        <w:pStyle w:val="ListParagraph"/>
        <w:numPr>
          <w:ilvl w:val="0"/>
          <w:numId w:val="1"/>
        </w:numPr>
        <w:spacing w:after="0" w:line="240" w:lineRule="auto"/>
        <w:rPr>
          <w:rFonts w:ascii="Myriad Pro" w:hAnsi="Myriad Pro" w:cstheme="minorHAnsi"/>
        </w:rPr>
      </w:pPr>
      <w:r w:rsidRPr="00EF131D">
        <w:rPr>
          <w:rFonts w:ascii="Myriad Pro" w:hAnsi="Myriad Pro" w:cstheme="minorHAnsi"/>
        </w:rPr>
        <w:t>Review the Australian Immunisation Register (AIR) to check the patient’s previous immunisation history.</w:t>
      </w:r>
    </w:p>
    <w:p w14:paraId="261A086C" w14:textId="77777777" w:rsidR="00046EF2" w:rsidRPr="00EF131D" w:rsidRDefault="00046EF2" w:rsidP="00046EF2">
      <w:pPr>
        <w:pStyle w:val="ListParagraph"/>
        <w:numPr>
          <w:ilvl w:val="0"/>
          <w:numId w:val="1"/>
        </w:numPr>
        <w:spacing w:after="0" w:line="240" w:lineRule="auto"/>
        <w:rPr>
          <w:rFonts w:ascii="Myriad Pro" w:hAnsi="Myriad Pro" w:cstheme="minorHAnsi"/>
        </w:rPr>
      </w:pPr>
      <w:r w:rsidRPr="00EF131D">
        <w:rPr>
          <w:rFonts w:ascii="Myriad Pro" w:hAnsi="Myriad Pro" w:cstheme="minorHAnsi"/>
        </w:rPr>
        <w:t>Check the online Australian Immunisation Handbook or download the Handbook app for the most current vaccination information.</w:t>
      </w:r>
    </w:p>
    <w:p w14:paraId="4FC1CC48" w14:textId="77777777" w:rsidR="00046EF2" w:rsidRPr="00EF131D" w:rsidRDefault="00046EF2" w:rsidP="00046EF2">
      <w:pPr>
        <w:pStyle w:val="ListParagraph"/>
        <w:numPr>
          <w:ilvl w:val="0"/>
          <w:numId w:val="1"/>
        </w:numPr>
        <w:spacing w:after="0" w:line="240" w:lineRule="auto"/>
        <w:rPr>
          <w:rFonts w:ascii="Myriad Pro" w:hAnsi="Myriad Pro" w:cstheme="minorHAnsi"/>
        </w:rPr>
      </w:pPr>
      <w:r w:rsidRPr="00EF131D">
        <w:rPr>
          <w:rFonts w:ascii="Myriad Pro" w:hAnsi="Myriad Pro" w:cstheme="minorHAnsi"/>
        </w:rPr>
        <w:t>Record the correct details of all vaccination on the AIR as soon as possible after vaccines have been administered.</w:t>
      </w:r>
    </w:p>
    <w:p w14:paraId="5F2C19E2" w14:textId="77777777" w:rsidR="00046EF2" w:rsidRPr="00EF131D" w:rsidRDefault="00046EF2" w:rsidP="002512E2">
      <w:pPr>
        <w:rPr>
          <w:rFonts w:ascii="Myriad Pro" w:hAnsi="Myriad Pro"/>
        </w:rPr>
      </w:pPr>
    </w:p>
    <w:p w14:paraId="5C03E9B4" w14:textId="5EE34BE7" w:rsidR="00D56178" w:rsidRPr="00EF131D" w:rsidRDefault="00D56178" w:rsidP="002512E2">
      <w:pPr>
        <w:rPr>
          <w:rFonts w:ascii="Myriad Pro" w:hAnsi="Myriad Pro"/>
        </w:rPr>
      </w:pPr>
      <w:r w:rsidRPr="00EF131D">
        <w:rPr>
          <w:rFonts w:ascii="Myriad Pro" w:eastAsia="Calibri" w:hAnsi="Myriad Pro" w:cs="Arial"/>
          <w:noProof/>
          <w:kern w:val="0"/>
          <w:sz w:val="18"/>
          <w:szCs w:val="18"/>
          <w:lang w:eastAsia="en-AU"/>
          <w14:ligatures w14:val="none"/>
        </w:rPr>
        <mc:AlternateContent>
          <mc:Choice Requires="wps">
            <w:drawing>
              <wp:anchor distT="45720" distB="45720" distL="114300" distR="114300" simplePos="0" relativeHeight="251658752" behindDoc="0" locked="0" layoutInCell="1" allowOverlap="1" wp14:anchorId="50E3D268" wp14:editId="4F0BB26D">
                <wp:simplePos x="0" y="0"/>
                <wp:positionH relativeFrom="margin">
                  <wp:posOffset>0</wp:posOffset>
                </wp:positionH>
                <wp:positionV relativeFrom="paragraph">
                  <wp:posOffset>378460</wp:posOffset>
                </wp:positionV>
                <wp:extent cx="5705475" cy="1649730"/>
                <wp:effectExtent l="19050" t="19050" r="28575" b="26670"/>
                <wp:wrapThrough wrapText="bothSides">
                  <wp:wrapPolygon edited="0">
                    <wp:start x="-72" y="-249"/>
                    <wp:lineTo x="-72" y="21700"/>
                    <wp:lineTo x="21636" y="21700"/>
                    <wp:lineTo x="21636" y="-249"/>
                    <wp:lineTo x="-72" y="-249"/>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49730"/>
                        </a:xfrm>
                        <a:prstGeom prst="rect">
                          <a:avLst/>
                        </a:prstGeom>
                        <a:solidFill>
                          <a:srgbClr val="FFFFFF"/>
                        </a:solidFill>
                        <a:ln w="28575">
                          <a:solidFill>
                            <a:srgbClr val="FFC000"/>
                          </a:solidFill>
                          <a:miter lim="800000"/>
                          <a:headEnd/>
                          <a:tailEnd/>
                        </a:ln>
                      </wps:spPr>
                      <wps:txbx>
                        <w:txbxContent>
                          <w:p w14:paraId="2CF08E42" w14:textId="77777777" w:rsidR="00D56178" w:rsidRPr="00044448" w:rsidRDefault="00D56178" w:rsidP="00D56178">
                            <w:pPr>
                              <w:spacing w:before="120"/>
                              <w:ind w:left="284" w:right="266"/>
                              <w:rPr>
                                <w:rFonts w:ascii="Aptos" w:hAnsi="Aptos"/>
                                <w:bCs/>
                                <w:sz w:val="20"/>
                                <w:szCs w:val="20"/>
                              </w:rPr>
                            </w:pPr>
                            <w:r w:rsidRPr="00044448">
                              <w:rPr>
                                <w:rFonts w:ascii="Aptos" w:hAnsi="Aptos"/>
                                <w:b/>
                                <w:bCs/>
                                <w:sz w:val="20"/>
                                <w:szCs w:val="20"/>
                              </w:rPr>
                              <w:t xml:space="preserve">DISCLAIMER: </w:t>
                            </w:r>
                            <w:r w:rsidRPr="00044448">
                              <w:rPr>
                                <w:rFonts w:ascii="Aptos" w:hAnsi="Aptos"/>
                                <w:bCs/>
                                <w:sz w:val="20"/>
                                <w:szCs w:val="20"/>
                              </w:rPr>
                              <w:t xml:space="preserve">This information is current at time of publication. </w:t>
                            </w:r>
                          </w:p>
                          <w:p w14:paraId="238E4C53" w14:textId="77777777" w:rsidR="00D56178" w:rsidRPr="00044448" w:rsidRDefault="00D56178" w:rsidP="00D56178">
                            <w:pPr>
                              <w:spacing w:before="120"/>
                              <w:ind w:left="284" w:right="266"/>
                              <w:rPr>
                                <w:rFonts w:ascii="Aptos" w:hAnsi="Aptos"/>
                                <w:bCs/>
                                <w:sz w:val="20"/>
                                <w:szCs w:val="20"/>
                              </w:rPr>
                            </w:pPr>
                            <w:r w:rsidRPr="00044448">
                              <w:rPr>
                                <w:rFonts w:ascii="Aptos" w:hAnsi="Aptos"/>
                                <w:bCs/>
                                <w:sz w:val="20"/>
                                <w:szCs w:val="20"/>
                              </w:rPr>
                              <w:t>The Guild has taken all reasonable care in preparing this information; however, it is provided as a guide only. We will in no way be liable to you or anyone else for any loss, however caused (including through negligence) which may be directly or indirectly suffered in connection with the use of this information.</w:t>
                            </w:r>
                          </w:p>
                          <w:p w14:paraId="2512D788" w14:textId="77777777" w:rsidR="00D56178" w:rsidRPr="00044448" w:rsidRDefault="00D56178" w:rsidP="00D56178">
                            <w:pPr>
                              <w:spacing w:before="120"/>
                              <w:ind w:left="284" w:right="266"/>
                              <w:rPr>
                                <w:rFonts w:ascii="Aptos" w:hAnsi="Aptos"/>
                                <w:bCs/>
                                <w:sz w:val="20"/>
                                <w:szCs w:val="20"/>
                              </w:rPr>
                            </w:pPr>
                            <w:r w:rsidRPr="00044448">
                              <w:rPr>
                                <w:rFonts w:ascii="Aptos" w:hAnsi="Aptos"/>
                                <w:bCs/>
                                <w:sz w:val="20"/>
                                <w:szCs w:val="20"/>
                              </w:rPr>
                              <w:t>The master document is controlled electronically. Printed copies of this document are not controlled. Document users are responsible for ensuring printed copies are valid, prior to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3D268" id="_x0000_t202" coordsize="21600,21600" o:spt="202" path="m,l,21600r21600,l21600,xe">
                <v:stroke joinstyle="miter"/>
                <v:path gradientshapeok="t" o:connecttype="rect"/>
              </v:shapetype>
              <v:shape id="Text Box 2" o:spid="_x0000_s1026" type="#_x0000_t202" style="position:absolute;margin-left:0;margin-top:29.8pt;width:449.25pt;height:129.9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" strokecolor="#ffc000" strokeweight="2.25pt">
                <v:textbox>
                  <w:txbxContent>
                    <w:p w14:paraId="2CF08E42" w14:textId="77777777" w:rsidR="00D56178" w:rsidRPr="00044448" w:rsidRDefault="00D56178" w:rsidP="00D56178">
                      <w:pPr>
                        <w:spacing w:before="120"/>
                        <w:ind w:left="284" w:right="266"/>
                        <w:rPr>
                          <w:rFonts w:ascii="Aptos" w:hAnsi="Aptos"/>
                          <w:bCs/>
                          <w:sz w:val="20"/>
                          <w:szCs w:val="20"/>
                        </w:rPr>
                      </w:pPr>
                      <w:r w:rsidRPr="00044448">
                        <w:rPr>
                          <w:rFonts w:ascii="Aptos" w:hAnsi="Aptos"/>
                          <w:b/>
                          <w:bCs/>
                          <w:sz w:val="20"/>
                          <w:szCs w:val="20"/>
                        </w:rPr>
                        <w:t xml:space="preserve">DISCLAIMER: </w:t>
                      </w:r>
                      <w:r w:rsidRPr="00044448">
                        <w:rPr>
                          <w:rFonts w:ascii="Aptos" w:hAnsi="Aptos"/>
                          <w:bCs/>
                          <w:sz w:val="20"/>
                          <w:szCs w:val="20"/>
                        </w:rPr>
                        <w:t xml:space="preserve">This information is current at time of publication. </w:t>
                      </w:r>
                    </w:p>
                    <w:p w14:paraId="238E4C53" w14:textId="77777777" w:rsidR="00D56178" w:rsidRPr="00044448" w:rsidRDefault="00D56178" w:rsidP="00D56178">
                      <w:pPr>
                        <w:spacing w:before="120"/>
                        <w:ind w:left="284" w:right="266"/>
                        <w:rPr>
                          <w:rFonts w:ascii="Aptos" w:hAnsi="Aptos"/>
                          <w:bCs/>
                          <w:sz w:val="20"/>
                          <w:szCs w:val="20"/>
                        </w:rPr>
                      </w:pPr>
                      <w:r w:rsidRPr="00044448">
                        <w:rPr>
                          <w:rFonts w:ascii="Aptos" w:hAnsi="Aptos"/>
                          <w:bCs/>
                          <w:sz w:val="20"/>
                          <w:szCs w:val="20"/>
                        </w:rPr>
                        <w:t>The Guild has taken all reasonable care in preparing this information; however, it is provided as a guide only. We will in no way be liable to you or anyone else for any loss, however caused (including through negligence) which may be directly or indirectly suffered in connection with the use of this information.</w:t>
                      </w:r>
                    </w:p>
                    <w:p w14:paraId="2512D788" w14:textId="77777777" w:rsidR="00D56178" w:rsidRPr="00044448" w:rsidRDefault="00D56178" w:rsidP="00D56178">
                      <w:pPr>
                        <w:spacing w:before="120"/>
                        <w:ind w:left="284" w:right="266"/>
                        <w:rPr>
                          <w:rFonts w:ascii="Aptos" w:hAnsi="Aptos"/>
                          <w:bCs/>
                          <w:sz w:val="20"/>
                          <w:szCs w:val="20"/>
                        </w:rPr>
                      </w:pPr>
                      <w:r w:rsidRPr="00044448">
                        <w:rPr>
                          <w:rFonts w:ascii="Aptos" w:hAnsi="Aptos"/>
                          <w:bCs/>
                          <w:sz w:val="20"/>
                          <w:szCs w:val="20"/>
                        </w:rPr>
                        <w:t>The master document is controlled electronically. Printed copies of this document are not controlled. Document users are responsible for ensuring printed copies are valid, prior to use.</w:t>
                      </w:r>
                    </w:p>
                  </w:txbxContent>
                </v:textbox>
                <w10:wrap type="through" anchorx="margin"/>
              </v:shape>
            </w:pict>
          </mc:Fallback>
        </mc:AlternateContent>
      </w:r>
    </w:p>
    <w:p w14:paraId="440B18CB" w14:textId="62B6B1AC" w:rsidR="00D56178" w:rsidRPr="00EF131D" w:rsidRDefault="00D56178">
      <w:pPr>
        <w:rPr>
          <w:rFonts w:ascii="Myriad Pro" w:hAnsi="Myriad Pro"/>
        </w:rPr>
      </w:pPr>
      <w:r w:rsidRPr="00EF131D">
        <w:rPr>
          <w:rFonts w:ascii="Myriad Pro" w:hAnsi="Myriad Pro"/>
        </w:rPr>
        <w:br w:type="page"/>
      </w:r>
    </w:p>
    <w:tbl>
      <w:tblPr>
        <w:tblStyle w:val="TableGrid"/>
        <w:tblW w:w="0" w:type="auto"/>
        <w:tblLook w:val="04A0" w:firstRow="1" w:lastRow="0" w:firstColumn="1" w:lastColumn="0" w:noHBand="0" w:noVBand="1"/>
      </w:tblPr>
      <w:tblGrid>
        <w:gridCol w:w="421"/>
        <w:gridCol w:w="5589"/>
        <w:gridCol w:w="3006"/>
      </w:tblGrid>
      <w:tr w:rsidR="00E926D0" w:rsidRPr="00EF131D" w14:paraId="2AB02266" w14:textId="77777777" w:rsidTr="00EF76F5">
        <w:tc>
          <w:tcPr>
            <w:tcW w:w="421" w:type="dxa"/>
          </w:tcPr>
          <w:p w14:paraId="6767BC4E" w14:textId="77777777" w:rsidR="00E926D0" w:rsidRPr="00EF131D" w:rsidRDefault="00E926D0" w:rsidP="002512E2">
            <w:pPr>
              <w:rPr>
                <w:rFonts w:ascii="Myriad Pro" w:hAnsi="Myriad Pro"/>
                <w:sz w:val="22"/>
                <w:szCs w:val="22"/>
              </w:rPr>
            </w:pPr>
          </w:p>
        </w:tc>
        <w:tc>
          <w:tcPr>
            <w:tcW w:w="5589" w:type="dxa"/>
          </w:tcPr>
          <w:p w14:paraId="11AFD97A" w14:textId="115091FB" w:rsidR="00E926D0" w:rsidRPr="00EF131D" w:rsidRDefault="00E926D0" w:rsidP="002512E2">
            <w:pPr>
              <w:rPr>
                <w:rFonts w:ascii="Myriad Pro" w:hAnsi="Myriad Pro"/>
                <w:b/>
                <w:bCs/>
                <w:sz w:val="22"/>
                <w:szCs w:val="22"/>
              </w:rPr>
            </w:pPr>
            <w:r w:rsidRPr="00EF131D">
              <w:rPr>
                <w:rFonts w:ascii="Myriad Pro" w:hAnsi="Myriad Pro"/>
                <w:b/>
                <w:bCs/>
                <w:sz w:val="22"/>
                <w:szCs w:val="22"/>
              </w:rPr>
              <w:t>What to do</w:t>
            </w:r>
          </w:p>
        </w:tc>
        <w:tc>
          <w:tcPr>
            <w:tcW w:w="3006" w:type="dxa"/>
          </w:tcPr>
          <w:p w14:paraId="2236C855" w14:textId="452073EE" w:rsidR="00E926D0" w:rsidRPr="00EF131D" w:rsidRDefault="00E926D0" w:rsidP="002512E2">
            <w:pPr>
              <w:rPr>
                <w:rFonts w:ascii="Myriad Pro" w:hAnsi="Myriad Pro"/>
                <w:b/>
                <w:bCs/>
                <w:sz w:val="22"/>
                <w:szCs w:val="22"/>
              </w:rPr>
            </w:pPr>
            <w:r w:rsidRPr="00EF131D">
              <w:rPr>
                <w:rFonts w:ascii="Myriad Pro" w:hAnsi="Myriad Pro"/>
                <w:b/>
                <w:bCs/>
                <w:sz w:val="22"/>
                <w:szCs w:val="22"/>
              </w:rPr>
              <w:t>Resource</w:t>
            </w:r>
          </w:p>
        </w:tc>
      </w:tr>
      <w:tr w:rsidR="00E926D0" w:rsidRPr="00EF131D" w14:paraId="0CF58971" w14:textId="77777777" w:rsidTr="00EF76F5">
        <w:tc>
          <w:tcPr>
            <w:tcW w:w="421" w:type="dxa"/>
          </w:tcPr>
          <w:p w14:paraId="42245B67" w14:textId="77777777" w:rsidR="00E926D0" w:rsidRPr="00EF131D" w:rsidRDefault="00E926D0" w:rsidP="002512E2">
            <w:pPr>
              <w:rPr>
                <w:rFonts w:ascii="Myriad Pro" w:hAnsi="Myriad Pro"/>
                <w:sz w:val="22"/>
                <w:szCs w:val="22"/>
              </w:rPr>
            </w:pPr>
          </w:p>
        </w:tc>
        <w:tc>
          <w:tcPr>
            <w:tcW w:w="5589" w:type="dxa"/>
          </w:tcPr>
          <w:p w14:paraId="07D348AD" w14:textId="3DFDC4E9" w:rsidR="00FC1D3F" w:rsidRPr="00EF131D" w:rsidRDefault="00243B9D" w:rsidP="002512E2">
            <w:pPr>
              <w:rPr>
                <w:rFonts w:ascii="Myriad Pro" w:hAnsi="Myriad Pro"/>
                <w:sz w:val="22"/>
                <w:szCs w:val="22"/>
              </w:rPr>
            </w:pPr>
            <w:r w:rsidRPr="00EF131D">
              <w:rPr>
                <w:rFonts w:ascii="Myriad Pro" w:hAnsi="Myriad Pro"/>
                <w:sz w:val="22"/>
                <w:szCs w:val="22"/>
              </w:rPr>
              <w:t xml:space="preserve">If not </w:t>
            </w:r>
            <w:r w:rsidR="00EC470A" w:rsidRPr="00EF131D">
              <w:rPr>
                <w:rFonts w:ascii="Myriad Pro" w:hAnsi="Myriad Pro"/>
                <w:sz w:val="22"/>
                <w:szCs w:val="22"/>
              </w:rPr>
              <w:t xml:space="preserve">administering immunisation medicines at a facility listed in the </w:t>
            </w:r>
            <w:hyperlink r:id="rId13" w:history="1">
              <w:r w:rsidR="00EC470A" w:rsidRPr="00EF131D">
                <w:rPr>
                  <w:rStyle w:val="Hyperlink"/>
                  <w:rFonts w:ascii="Myriad Pro" w:hAnsi="Myriad Pro"/>
                  <w:sz w:val="22"/>
                  <w:szCs w:val="22"/>
                </w:rPr>
                <w:t>EPA-P</w:t>
              </w:r>
            </w:hyperlink>
            <w:r w:rsidR="00330FA7" w:rsidRPr="00EF131D">
              <w:rPr>
                <w:rFonts w:ascii="Myriad Pro" w:hAnsi="Myriad Pro"/>
                <w:sz w:val="22"/>
                <w:szCs w:val="22"/>
              </w:rPr>
              <w:t>, c</w:t>
            </w:r>
            <w:r w:rsidR="00FC1D3F" w:rsidRPr="00EF131D">
              <w:rPr>
                <w:rFonts w:ascii="Myriad Pro" w:hAnsi="Myriad Pro"/>
                <w:sz w:val="22"/>
                <w:szCs w:val="22"/>
              </w:rPr>
              <w:t>omplete a Queensland Health General Approval form</w:t>
            </w:r>
          </w:p>
        </w:tc>
        <w:tc>
          <w:tcPr>
            <w:tcW w:w="3006" w:type="dxa"/>
          </w:tcPr>
          <w:p w14:paraId="4F97C88C" w14:textId="7A9633B5" w:rsidR="00E926D0" w:rsidRPr="00EF131D" w:rsidRDefault="007A0009" w:rsidP="002512E2">
            <w:pPr>
              <w:rPr>
                <w:rFonts w:ascii="Myriad Pro" w:hAnsi="Myriad Pro"/>
                <w:sz w:val="22"/>
                <w:szCs w:val="22"/>
              </w:rPr>
            </w:pPr>
            <w:hyperlink r:id="rId14" w:history="1">
              <w:r w:rsidRPr="00EF131D">
                <w:rPr>
                  <w:rStyle w:val="Hyperlink"/>
                  <w:rFonts w:ascii="Myriad Pro" w:hAnsi="Myriad Pro"/>
                  <w:sz w:val="22"/>
                  <w:szCs w:val="22"/>
                </w:rPr>
                <w:t>Application form – General approval - Immunisation program (pharmacist) – Initial application</w:t>
              </w:r>
            </w:hyperlink>
          </w:p>
        </w:tc>
      </w:tr>
      <w:tr w:rsidR="00E926D0" w:rsidRPr="00EF131D" w14:paraId="189A2692" w14:textId="77777777" w:rsidTr="00EF76F5">
        <w:tc>
          <w:tcPr>
            <w:tcW w:w="421" w:type="dxa"/>
          </w:tcPr>
          <w:p w14:paraId="42A65AB7" w14:textId="77777777" w:rsidR="00E926D0" w:rsidRPr="00EF131D" w:rsidRDefault="00E926D0" w:rsidP="002512E2">
            <w:pPr>
              <w:rPr>
                <w:rFonts w:ascii="Myriad Pro" w:hAnsi="Myriad Pro"/>
                <w:sz w:val="22"/>
                <w:szCs w:val="22"/>
              </w:rPr>
            </w:pPr>
          </w:p>
        </w:tc>
        <w:tc>
          <w:tcPr>
            <w:tcW w:w="5589" w:type="dxa"/>
          </w:tcPr>
          <w:p w14:paraId="02F2EDD5" w14:textId="1869C59E" w:rsidR="00E926D0" w:rsidRPr="00EF131D" w:rsidRDefault="00804B73" w:rsidP="002512E2">
            <w:pPr>
              <w:rPr>
                <w:rFonts w:ascii="Myriad Pro" w:hAnsi="Myriad Pro"/>
                <w:sz w:val="22"/>
                <w:szCs w:val="22"/>
              </w:rPr>
            </w:pPr>
            <w:r w:rsidRPr="00EF131D">
              <w:rPr>
                <w:rFonts w:ascii="Myriad Pro" w:hAnsi="Myriad Pro"/>
                <w:sz w:val="22"/>
                <w:szCs w:val="22"/>
              </w:rPr>
              <w:t>Include offsite</w:t>
            </w:r>
            <w:r w:rsidR="00CA1133" w:rsidRPr="00EF131D">
              <w:rPr>
                <w:rFonts w:ascii="Myriad Pro" w:hAnsi="Myriad Pro"/>
                <w:sz w:val="22"/>
                <w:szCs w:val="22"/>
              </w:rPr>
              <w:t xml:space="preserve"> immunisation service in pharmacy’s Substance Management Plan</w:t>
            </w:r>
          </w:p>
        </w:tc>
        <w:tc>
          <w:tcPr>
            <w:tcW w:w="3006" w:type="dxa"/>
          </w:tcPr>
          <w:p w14:paraId="2D6414F9" w14:textId="0765177C" w:rsidR="008E2650" w:rsidRPr="00EF131D" w:rsidRDefault="008E2650" w:rsidP="008E2650">
            <w:pPr>
              <w:rPr>
                <w:rFonts w:ascii="Myriad Pro" w:hAnsi="Myriad Pro"/>
                <w:sz w:val="22"/>
                <w:szCs w:val="22"/>
              </w:rPr>
            </w:pPr>
            <w:hyperlink r:id="rId15" w:history="1">
              <w:r w:rsidRPr="00EF131D">
                <w:rPr>
                  <w:rStyle w:val="Hyperlink"/>
                  <w:rFonts w:ascii="Myriad Pro" w:hAnsi="Myriad Pro"/>
                  <w:sz w:val="22"/>
                  <w:szCs w:val="22"/>
                </w:rPr>
                <w:t>Substance management plans (SMPs) | Queensland Health</w:t>
              </w:r>
            </w:hyperlink>
          </w:p>
          <w:p w14:paraId="35F2218C" w14:textId="77777777" w:rsidR="00E926D0" w:rsidRPr="00EF131D" w:rsidRDefault="00E926D0" w:rsidP="002512E2">
            <w:pPr>
              <w:rPr>
                <w:rFonts w:ascii="Myriad Pro" w:hAnsi="Myriad Pro"/>
                <w:sz w:val="22"/>
                <w:szCs w:val="22"/>
              </w:rPr>
            </w:pPr>
          </w:p>
          <w:p w14:paraId="3C9AC591" w14:textId="54654F6B" w:rsidR="008E2650" w:rsidRPr="00EF131D" w:rsidRDefault="00A30BBC" w:rsidP="002512E2">
            <w:pPr>
              <w:rPr>
                <w:rFonts w:ascii="Myriad Pro" w:hAnsi="Myriad Pro"/>
                <w:sz w:val="22"/>
                <w:szCs w:val="22"/>
              </w:rPr>
            </w:pPr>
            <w:hyperlink r:id="rId16" w:history="1">
              <w:r w:rsidRPr="00EF131D">
                <w:rPr>
                  <w:rStyle w:val="Hyperlink"/>
                  <w:rFonts w:ascii="Myriad Pro" w:hAnsi="Myriad Pro"/>
                  <w:sz w:val="22"/>
                  <w:szCs w:val="22"/>
                </w:rPr>
                <w:t>Substance Management Plan</w:t>
              </w:r>
              <w:r w:rsidR="00175341" w:rsidRPr="00EF131D">
                <w:rPr>
                  <w:rStyle w:val="Hyperlink"/>
                  <w:rFonts w:ascii="Myriad Pro" w:hAnsi="Myriad Pro"/>
                  <w:sz w:val="22"/>
                  <w:szCs w:val="22"/>
                </w:rPr>
                <w:t xml:space="preserve"> Templates</w:t>
              </w:r>
              <w:r w:rsidRPr="00EF131D">
                <w:rPr>
                  <w:rStyle w:val="Hyperlink"/>
                  <w:rFonts w:ascii="Myriad Pro" w:hAnsi="Myriad Pro"/>
                  <w:sz w:val="22"/>
                  <w:szCs w:val="22"/>
                </w:rPr>
                <w:t xml:space="preserve"> |</w:t>
              </w:r>
              <w:r w:rsidR="00175341" w:rsidRPr="00EF131D">
                <w:rPr>
                  <w:rStyle w:val="Hyperlink"/>
                  <w:rFonts w:ascii="Myriad Pro" w:hAnsi="Myriad Pro"/>
                  <w:sz w:val="22"/>
                  <w:szCs w:val="22"/>
                </w:rPr>
                <w:t xml:space="preserve"> Queensland Guild</w:t>
              </w:r>
            </w:hyperlink>
          </w:p>
        </w:tc>
      </w:tr>
      <w:tr w:rsidR="00E926D0" w:rsidRPr="00EF131D" w14:paraId="5F1AC09E" w14:textId="77777777" w:rsidTr="00EF76F5">
        <w:tc>
          <w:tcPr>
            <w:tcW w:w="421" w:type="dxa"/>
          </w:tcPr>
          <w:p w14:paraId="6CC65FD1" w14:textId="77777777" w:rsidR="00E926D0" w:rsidRPr="00EF131D" w:rsidRDefault="00E926D0" w:rsidP="002512E2">
            <w:pPr>
              <w:rPr>
                <w:rFonts w:ascii="Myriad Pro" w:hAnsi="Myriad Pro"/>
                <w:sz w:val="22"/>
                <w:szCs w:val="22"/>
              </w:rPr>
            </w:pPr>
          </w:p>
        </w:tc>
        <w:tc>
          <w:tcPr>
            <w:tcW w:w="5589" w:type="dxa"/>
          </w:tcPr>
          <w:p w14:paraId="1D6FFC5B" w14:textId="77777777" w:rsidR="00E926D0" w:rsidRPr="00EF131D" w:rsidRDefault="001E50DF" w:rsidP="002512E2">
            <w:pPr>
              <w:rPr>
                <w:rFonts w:ascii="Myriad Pro" w:hAnsi="Myriad Pro"/>
                <w:sz w:val="22"/>
                <w:szCs w:val="22"/>
              </w:rPr>
            </w:pPr>
            <w:r w:rsidRPr="00EF131D">
              <w:rPr>
                <w:rFonts w:ascii="Myriad Pro" w:hAnsi="Myriad Pro"/>
                <w:sz w:val="22"/>
                <w:szCs w:val="22"/>
              </w:rPr>
              <w:t>Consider</w:t>
            </w:r>
            <w:r w:rsidR="00122B07" w:rsidRPr="00EF131D">
              <w:rPr>
                <w:rFonts w:ascii="Myriad Pro" w:hAnsi="Myriad Pro"/>
                <w:sz w:val="22"/>
                <w:szCs w:val="22"/>
              </w:rPr>
              <w:t xml:space="preserve"> logistics of establishing and managing immunisation clinic</w:t>
            </w:r>
            <w:r w:rsidR="00433359" w:rsidRPr="00EF131D">
              <w:rPr>
                <w:rFonts w:ascii="Myriad Pro" w:hAnsi="Myriad Pro"/>
                <w:sz w:val="22"/>
                <w:szCs w:val="22"/>
              </w:rPr>
              <w:t xml:space="preserve"> at allocated times</w:t>
            </w:r>
            <w:r w:rsidR="004B5A59" w:rsidRPr="00EF131D">
              <w:rPr>
                <w:rFonts w:ascii="Myriad Pro" w:hAnsi="Myriad Pro"/>
                <w:sz w:val="22"/>
                <w:szCs w:val="22"/>
              </w:rPr>
              <w:t>.</w:t>
            </w:r>
          </w:p>
          <w:p w14:paraId="2A2A768C" w14:textId="77777777" w:rsidR="004B5A59" w:rsidRPr="00EF131D" w:rsidRDefault="004B5A59" w:rsidP="002512E2">
            <w:pPr>
              <w:rPr>
                <w:rFonts w:ascii="Myriad Pro" w:hAnsi="Myriad Pro"/>
                <w:sz w:val="22"/>
                <w:szCs w:val="22"/>
              </w:rPr>
            </w:pPr>
          </w:p>
          <w:p w14:paraId="1156B849" w14:textId="237BE0A9" w:rsidR="004B5A59" w:rsidRPr="00EF131D" w:rsidRDefault="004B5A59" w:rsidP="002512E2">
            <w:pPr>
              <w:rPr>
                <w:rFonts w:ascii="Myriad Pro" w:hAnsi="Myriad Pro"/>
                <w:sz w:val="22"/>
                <w:szCs w:val="22"/>
              </w:rPr>
            </w:pPr>
            <w:r w:rsidRPr="00EF131D">
              <w:rPr>
                <w:rFonts w:ascii="Myriad Pro" w:hAnsi="Myriad Pro"/>
                <w:sz w:val="22"/>
                <w:szCs w:val="22"/>
              </w:rPr>
              <w:t>Queensland Health provide</w:t>
            </w:r>
            <w:r w:rsidR="00111640" w:rsidRPr="00EF131D">
              <w:rPr>
                <w:rFonts w:ascii="Myriad Pro" w:hAnsi="Myriad Pro"/>
                <w:sz w:val="22"/>
                <w:szCs w:val="22"/>
              </w:rPr>
              <w:t>s</w:t>
            </w:r>
            <w:r w:rsidRPr="00EF131D">
              <w:rPr>
                <w:rFonts w:ascii="Myriad Pro" w:hAnsi="Myriad Pro"/>
                <w:sz w:val="22"/>
                <w:szCs w:val="22"/>
              </w:rPr>
              <w:t xml:space="preserve"> comprehensive information for School Immunisation Programs which may be useful as a reference</w:t>
            </w:r>
            <w:r w:rsidR="00111640" w:rsidRPr="00EF131D">
              <w:rPr>
                <w:rFonts w:ascii="Myriad Pro" w:hAnsi="Myriad Pro"/>
                <w:sz w:val="22"/>
                <w:szCs w:val="22"/>
              </w:rPr>
              <w:t xml:space="preserve">. </w:t>
            </w:r>
          </w:p>
        </w:tc>
        <w:tc>
          <w:tcPr>
            <w:tcW w:w="3006" w:type="dxa"/>
          </w:tcPr>
          <w:p w14:paraId="46E8769A" w14:textId="40B60F75" w:rsidR="00E926D0" w:rsidRPr="00EF131D" w:rsidRDefault="00111640" w:rsidP="002512E2">
            <w:pPr>
              <w:rPr>
                <w:rFonts w:ascii="Myriad Pro" w:hAnsi="Myriad Pro"/>
                <w:sz w:val="22"/>
                <w:szCs w:val="22"/>
              </w:rPr>
            </w:pPr>
            <w:hyperlink r:id="rId17" w:history="1">
              <w:r w:rsidRPr="00EF131D">
                <w:rPr>
                  <w:rStyle w:val="Hyperlink"/>
                  <w:rFonts w:ascii="Myriad Pro" w:hAnsi="Myriad Pro"/>
                  <w:sz w:val="22"/>
                  <w:szCs w:val="22"/>
                </w:rPr>
                <w:t>School Immunisation Program | Queensland Health</w:t>
              </w:r>
            </w:hyperlink>
          </w:p>
        </w:tc>
      </w:tr>
      <w:tr w:rsidR="00E926D0" w:rsidRPr="00EF131D" w14:paraId="673532D0" w14:textId="77777777" w:rsidTr="00EF76F5">
        <w:tc>
          <w:tcPr>
            <w:tcW w:w="421" w:type="dxa"/>
          </w:tcPr>
          <w:p w14:paraId="205C62F7" w14:textId="77777777" w:rsidR="00E926D0" w:rsidRPr="00EF131D" w:rsidRDefault="00E926D0" w:rsidP="002512E2">
            <w:pPr>
              <w:rPr>
                <w:rFonts w:ascii="Myriad Pro" w:hAnsi="Myriad Pro"/>
                <w:sz w:val="22"/>
                <w:szCs w:val="22"/>
              </w:rPr>
            </w:pPr>
          </w:p>
        </w:tc>
        <w:tc>
          <w:tcPr>
            <w:tcW w:w="5589" w:type="dxa"/>
          </w:tcPr>
          <w:p w14:paraId="134D50FC" w14:textId="553CB275" w:rsidR="00E926D0" w:rsidRPr="00EF131D" w:rsidRDefault="00BE558D" w:rsidP="002512E2">
            <w:pPr>
              <w:rPr>
                <w:rFonts w:ascii="Myriad Pro" w:hAnsi="Myriad Pro"/>
                <w:sz w:val="22"/>
                <w:szCs w:val="22"/>
              </w:rPr>
            </w:pPr>
            <w:r w:rsidRPr="00EF131D">
              <w:rPr>
                <w:rFonts w:ascii="Myriad Pro" w:hAnsi="Myriad Pro"/>
                <w:sz w:val="22"/>
                <w:szCs w:val="22"/>
              </w:rPr>
              <w:t xml:space="preserve">Ensure environment is compliant with </w:t>
            </w:r>
            <w:hyperlink r:id="rId18" w:history="1">
              <w:r w:rsidR="00832B66" w:rsidRPr="00EF131D">
                <w:rPr>
                  <w:rStyle w:val="Hyperlink"/>
                  <w:rFonts w:ascii="Myriad Pro" w:hAnsi="Myriad Pro"/>
                  <w:sz w:val="22"/>
                  <w:szCs w:val="22"/>
                </w:rPr>
                <w:t>EPA-P</w:t>
              </w:r>
            </w:hyperlink>
            <w:r w:rsidR="00832B66" w:rsidRPr="00EF131D">
              <w:rPr>
                <w:rFonts w:ascii="Myriad Pro" w:hAnsi="Myriad Pro"/>
                <w:sz w:val="22"/>
                <w:szCs w:val="22"/>
              </w:rPr>
              <w:t xml:space="preserve"> </w:t>
            </w:r>
            <w:r w:rsidRPr="00EF131D">
              <w:rPr>
                <w:rFonts w:ascii="Myriad Pro" w:hAnsi="Myriad Pro"/>
                <w:sz w:val="22"/>
                <w:szCs w:val="22"/>
              </w:rPr>
              <w:t>(Appendix 3)</w:t>
            </w:r>
          </w:p>
        </w:tc>
        <w:tc>
          <w:tcPr>
            <w:tcW w:w="3006" w:type="dxa"/>
          </w:tcPr>
          <w:p w14:paraId="18289051" w14:textId="397C942F" w:rsidR="00E926D0" w:rsidRPr="00EF131D" w:rsidRDefault="007E795D" w:rsidP="002512E2">
            <w:pPr>
              <w:rPr>
                <w:rFonts w:ascii="Myriad Pro" w:hAnsi="Myriad Pro"/>
                <w:sz w:val="22"/>
                <w:szCs w:val="22"/>
              </w:rPr>
            </w:pPr>
            <w:hyperlink r:id="rId19" w:history="1">
              <w:r w:rsidRPr="00EF131D">
                <w:rPr>
                  <w:rStyle w:val="Hyperlink"/>
                  <w:rFonts w:ascii="Myriad Pro" w:hAnsi="Myriad Pro"/>
                  <w:sz w:val="22"/>
                  <w:szCs w:val="22"/>
                </w:rPr>
                <w:t>Legislation, standards and extended practice authorities | Queensland Health</w:t>
              </w:r>
            </w:hyperlink>
          </w:p>
        </w:tc>
      </w:tr>
      <w:tr w:rsidR="00E926D0" w:rsidRPr="00EF131D" w14:paraId="5BA5C5F5" w14:textId="77777777" w:rsidTr="00EF76F5">
        <w:tc>
          <w:tcPr>
            <w:tcW w:w="421" w:type="dxa"/>
          </w:tcPr>
          <w:p w14:paraId="7EEB4906" w14:textId="77777777" w:rsidR="00E926D0" w:rsidRPr="00EF131D" w:rsidRDefault="00E926D0" w:rsidP="002512E2">
            <w:pPr>
              <w:rPr>
                <w:rFonts w:ascii="Myriad Pro" w:hAnsi="Myriad Pro"/>
                <w:sz w:val="22"/>
                <w:szCs w:val="22"/>
              </w:rPr>
            </w:pPr>
          </w:p>
        </w:tc>
        <w:tc>
          <w:tcPr>
            <w:tcW w:w="5589" w:type="dxa"/>
          </w:tcPr>
          <w:p w14:paraId="235D67DD" w14:textId="23CF1338" w:rsidR="00E926D0" w:rsidRPr="00EF131D" w:rsidRDefault="00A11213" w:rsidP="002512E2">
            <w:pPr>
              <w:rPr>
                <w:rFonts w:ascii="Myriad Pro" w:hAnsi="Myriad Pro"/>
                <w:sz w:val="22"/>
                <w:szCs w:val="22"/>
              </w:rPr>
            </w:pPr>
            <w:r w:rsidRPr="00EF131D">
              <w:rPr>
                <w:rFonts w:ascii="Myriad Pro" w:hAnsi="Myriad Pro"/>
                <w:sz w:val="22"/>
                <w:szCs w:val="22"/>
              </w:rPr>
              <w:t xml:space="preserve">Ensure sufficient staffing to meet requirements of </w:t>
            </w:r>
            <w:hyperlink r:id="rId20" w:history="1">
              <w:r w:rsidR="00832B66" w:rsidRPr="00EF131D">
                <w:rPr>
                  <w:rStyle w:val="Hyperlink"/>
                  <w:rFonts w:ascii="Myriad Pro" w:hAnsi="Myriad Pro"/>
                  <w:sz w:val="22"/>
                  <w:szCs w:val="22"/>
                </w:rPr>
                <w:t>EPA-P</w:t>
              </w:r>
            </w:hyperlink>
            <w:r w:rsidR="00832B66" w:rsidRPr="00EF131D">
              <w:rPr>
                <w:rFonts w:ascii="Myriad Pro" w:hAnsi="Myriad Pro"/>
                <w:sz w:val="22"/>
                <w:szCs w:val="22"/>
              </w:rPr>
              <w:t xml:space="preserve"> </w:t>
            </w:r>
            <w:r w:rsidR="0078421F" w:rsidRPr="00EF131D">
              <w:rPr>
                <w:rFonts w:ascii="Myriad Pro" w:hAnsi="Myriad Pro"/>
                <w:sz w:val="22"/>
                <w:szCs w:val="22"/>
              </w:rPr>
              <w:t>(Appendix 1 &amp; 2)</w:t>
            </w:r>
          </w:p>
        </w:tc>
        <w:tc>
          <w:tcPr>
            <w:tcW w:w="3006" w:type="dxa"/>
          </w:tcPr>
          <w:p w14:paraId="5166465A" w14:textId="6DE2A41E" w:rsidR="00E926D0" w:rsidRPr="00EF131D" w:rsidRDefault="007E795D" w:rsidP="002512E2">
            <w:pPr>
              <w:rPr>
                <w:rFonts w:ascii="Myriad Pro" w:hAnsi="Myriad Pro"/>
                <w:sz w:val="22"/>
                <w:szCs w:val="22"/>
              </w:rPr>
            </w:pPr>
            <w:hyperlink r:id="rId21" w:history="1">
              <w:r w:rsidRPr="00EF131D">
                <w:rPr>
                  <w:rStyle w:val="Hyperlink"/>
                  <w:rFonts w:ascii="Myriad Pro" w:hAnsi="Myriad Pro"/>
                  <w:sz w:val="22"/>
                  <w:szCs w:val="22"/>
                </w:rPr>
                <w:t>Legislation, standards and extended practice authorities | Queensland Health</w:t>
              </w:r>
            </w:hyperlink>
          </w:p>
        </w:tc>
      </w:tr>
      <w:tr w:rsidR="00CA3213" w:rsidRPr="00EF131D" w14:paraId="6DD14E36" w14:textId="77777777" w:rsidTr="00EF76F5">
        <w:tc>
          <w:tcPr>
            <w:tcW w:w="421" w:type="dxa"/>
          </w:tcPr>
          <w:p w14:paraId="6A62A3D7" w14:textId="77777777" w:rsidR="00CA3213" w:rsidRPr="00EF131D" w:rsidRDefault="00CA3213" w:rsidP="002512E2">
            <w:pPr>
              <w:rPr>
                <w:rFonts w:ascii="Myriad Pro" w:hAnsi="Myriad Pro"/>
                <w:sz w:val="22"/>
                <w:szCs w:val="22"/>
              </w:rPr>
            </w:pPr>
          </w:p>
        </w:tc>
        <w:tc>
          <w:tcPr>
            <w:tcW w:w="5589" w:type="dxa"/>
          </w:tcPr>
          <w:p w14:paraId="65346E68" w14:textId="3DC87C17" w:rsidR="00CA3213" w:rsidRPr="00EF131D" w:rsidRDefault="000D411B" w:rsidP="002512E2">
            <w:pPr>
              <w:rPr>
                <w:rFonts w:ascii="Myriad Pro" w:hAnsi="Myriad Pro"/>
                <w:sz w:val="22"/>
                <w:szCs w:val="22"/>
              </w:rPr>
            </w:pPr>
            <w:r w:rsidRPr="00EF131D">
              <w:rPr>
                <w:rFonts w:ascii="Myriad Pro" w:hAnsi="Myriad Pro"/>
                <w:sz w:val="22"/>
                <w:szCs w:val="22"/>
              </w:rPr>
              <w:t>Ensure accessibility to the</w:t>
            </w:r>
            <w:r w:rsidR="008E76D2" w:rsidRPr="00EF131D">
              <w:rPr>
                <w:rFonts w:ascii="Myriad Pro" w:hAnsi="Myriad Pro"/>
                <w:sz w:val="22"/>
                <w:szCs w:val="22"/>
              </w:rPr>
              <w:t xml:space="preserve"> National Immunisation Program schedule and resources</w:t>
            </w:r>
          </w:p>
        </w:tc>
        <w:tc>
          <w:tcPr>
            <w:tcW w:w="3006" w:type="dxa"/>
          </w:tcPr>
          <w:p w14:paraId="277C7CED" w14:textId="75FA23DC" w:rsidR="00CA3213" w:rsidRPr="00EF131D" w:rsidRDefault="004B1F68" w:rsidP="002512E2">
            <w:pPr>
              <w:rPr>
                <w:rFonts w:ascii="Myriad Pro" w:hAnsi="Myriad Pro"/>
                <w:sz w:val="22"/>
                <w:szCs w:val="22"/>
              </w:rPr>
            </w:pPr>
            <w:hyperlink r:id="rId22" w:history="1">
              <w:r w:rsidRPr="00EF131D">
                <w:rPr>
                  <w:rStyle w:val="Hyperlink"/>
                  <w:rFonts w:ascii="Myriad Pro" w:hAnsi="Myriad Pro"/>
                  <w:sz w:val="22"/>
                  <w:szCs w:val="22"/>
                </w:rPr>
                <w:t>Immunisation schedules and programs | Queensland Health</w:t>
              </w:r>
            </w:hyperlink>
          </w:p>
        </w:tc>
      </w:tr>
      <w:tr w:rsidR="008E76D2" w:rsidRPr="00EF131D" w14:paraId="23D8D27C" w14:textId="77777777" w:rsidTr="00EF76F5">
        <w:tc>
          <w:tcPr>
            <w:tcW w:w="421" w:type="dxa"/>
          </w:tcPr>
          <w:p w14:paraId="0817CFB8" w14:textId="77777777" w:rsidR="008E76D2" w:rsidRPr="00EF131D" w:rsidRDefault="008E76D2" w:rsidP="002512E2">
            <w:pPr>
              <w:rPr>
                <w:rFonts w:ascii="Myriad Pro" w:hAnsi="Myriad Pro"/>
                <w:sz w:val="22"/>
                <w:szCs w:val="22"/>
              </w:rPr>
            </w:pPr>
          </w:p>
        </w:tc>
        <w:tc>
          <w:tcPr>
            <w:tcW w:w="5589" w:type="dxa"/>
          </w:tcPr>
          <w:p w14:paraId="76AFE9D5" w14:textId="77777777" w:rsidR="008E76D2" w:rsidRPr="00EF131D" w:rsidRDefault="00FB14A0" w:rsidP="002512E2">
            <w:pPr>
              <w:rPr>
                <w:rFonts w:ascii="Myriad Pro" w:hAnsi="Myriad Pro"/>
                <w:sz w:val="22"/>
                <w:szCs w:val="22"/>
              </w:rPr>
            </w:pPr>
            <w:r w:rsidRPr="00EF131D">
              <w:rPr>
                <w:rFonts w:ascii="Myriad Pro" w:hAnsi="Myriad Pro"/>
                <w:sz w:val="22"/>
                <w:szCs w:val="22"/>
              </w:rPr>
              <w:t>Prepare appropriate documentation and processes to gather consent from patients</w:t>
            </w:r>
            <w:r w:rsidR="00AD2687" w:rsidRPr="00EF131D">
              <w:rPr>
                <w:rFonts w:ascii="Myriad Pro" w:hAnsi="Myriad Pro"/>
                <w:sz w:val="22"/>
                <w:szCs w:val="22"/>
              </w:rPr>
              <w:t xml:space="preserve">. </w:t>
            </w:r>
          </w:p>
          <w:p w14:paraId="538422FD" w14:textId="77777777" w:rsidR="001442ED" w:rsidRPr="00EF131D" w:rsidRDefault="001442ED" w:rsidP="002512E2">
            <w:pPr>
              <w:rPr>
                <w:rFonts w:ascii="Myriad Pro" w:hAnsi="Myriad Pro"/>
                <w:sz w:val="22"/>
                <w:szCs w:val="22"/>
              </w:rPr>
            </w:pPr>
          </w:p>
          <w:p w14:paraId="14886B76" w14:textId="2CE5F9B5" w:rsidR="00AD2687" w:rsidRPr="00EF131D" w:rsidRDefault="00AD2687" w:rsidP="002512E2">
            <w:pPr>
              <w:rPr>
                <w:rFonts w:ascii="Myriad Pro" w:hAnsi="Myriad Pro"/>
                <w:sz w:val="22"/>
                <w:szCs w:val="22"/>
              </w:rPr>
            </w:pPr>
            <w:r w:rsidRPr="00EF131D">
              <w:rPr>
                <w:rFonts w:ascii="Myriad Pro" w:hAnsi="Myriad Pro"/>
                <w:sz w:val="22"/>
                <w:szCs w:val="22"/>
              </w:rPr>
              <w:t>Consider additional requirements for consent from patients</w:t>
            </w:r>
            <w:r w:rsidR="00B13BD4" w:rsidRPr="00EF131D">
              <w:rPr>
                <w:rFonts w:ascii="Myriad Pro" w:hAnsi="Myriad Pro"/>
                <w:sz w:val="22"/>
                <w:szCs w:val="22"/>
              </w:rPr>
              <w:t xml:space="preserve"> such as students or aged care residents who may nee</w:t>
            </w:r>
            <w:r w:rsidR="00C16B9D" w:rsidRPr="00EF131D">
              <w:rPr>
                <w:rFonts w:ascii="Myriad Pro" w:hAnsi="Myriad Pro"/>
                <w:sz w:val="22"/>
                <w:szCs w:val="22"/>
              </w:rPr>
              <w:t>d a carer to consent on their behalf.</w:t>
            </w:r>
          </w:p>
        </w:tc>
        <w:tc>
          <w:tcPr>
            <w:tcW w:w="3006" w:type="dxa"/>
          </w:tcPr>
          <w:p w14:paraId="2E97E0F5" w14:textId="78D9E301" w:rsidR="006C6AEE" w:rsidRPr="00EF131D" w:rsidRDefault="006C6AEE" w:rsidP="006C6AEE">
            <w:pPr>
              <w:rPr>
                <w:rStyle w:val="Hyperlink"/>
                <w:rFonts w:ascii="Myriad Pro" w:hAnsi="Myriad Pro"/>
                <w:sz w:val="22"/>
                <w:szCs w:val="22"/>
              </w:rPr>
            </w:pPr>
            <w:hyperlink r:id="rId23" w:history="1">
              <w:r w:rsidRPr="00EF131D">
                <w:rPr>
                  <w:rStyle w:val="Hyperlink"/>
                  <w:rFonts w:ascii="Myriad Pro" w:hAnsi="Myriad Pro"/>
                  <w:sz w:val="22"/>
                  <w:szCs w:val="22"/>
                </w:rPr>
                <w:t>Guide to Informed Decision-making in Health Care</w:t>
              </w:r>
              <w:r w:rsidR="000A6735" w:rsidRPr="00EF131D">
                <w:rPr>
                  <w:rStyle w:val="Hyperlink"/>
                  <w:rFonts w:ascii="Myriad Pro" w:hAnsi="Myriad Pro"/>
                  <w:sz w:val="22"/>
                  <w:szCs w:val="22"/>
                </w:rPr>
                <w:t xml:space="preserve"> | Queensland Health</w:t>
              </w:r>
            </w:hyperlink>
          </w:p>
          <w:p w14:paraId="508F4863" w14:textId="77777777" w:rsidR="008E76D2" w:rsidRPr="00EF131D" w:rsidRDefault="008E76D2" w:rsidP="002512E2">
            <w:pPr>
              <w:rPr>
                <w:rFonts w:ascii="Myriad Pro" w:hAnsi="Myriad Pro"/>
                <w:sz w:val="22"/>
                <w:szCs w:val="22"/>
              </w:rPr>
            </w:pPr>
          </w:p>
        </w:tc>
      </w:tr>
      <w:tr w:rsidR="00FB14A0" w:rsidRPr="00EF131D" w14:paraId="0CD53E72" w14:textId="77777777" w:rsidTr="00EF76F5">
        <w:tc>
          <w:tcPr>
            <w:tcW w:w="421" w:type="dxa"/>
          </w:tcPr>
          <w:p w14:paraId="7D3FFB31" w14:textId="77777777" w:rsidR="00FB14A0" w:rsidRPr="00EF131D" w:rsidRDefault="00FB14A0" w:rsidP="002512E2">
            <w:pPr>
              <w:rPr>
                <w:rFonts w:ascii="Myriad Pro" w:hAnsi="Myriad Pro"/>
                <w:sz w:val="22"/>
                <w:szCs w:val="22"/>
              </w:rPr>
            </w:pPr>
          </w:p>
        </w:tc>
        <w:tc>
          <w:tcPr>
            <w:tcW w:w="5589" w:type="dxa"/>
          </w:tcPr>
          <w:p w14:paraId="1A949159" w14:textId="32D22A9C" w:rsidR="00FB14A0" w:rsidRPr="00EF131D" w:rsidRDefault="00B27914" w:rsidP="002512E2">
            <w:pPr>
              <w:rPr>
                <w:rFonts w:ascii="Myriad Pro" w:hAnsi="Myriad Pro"/>
                <w:sz w:val="22"/>
                <w:szCs w:val="22"/>
              </w:rPr>
            </w:pPr>
            <w:r w:rsidRPr="00EF131D">
              <w:rPr>
                <w:rFonts w:ascii="Myriad Pro" w:hAnsi="Myriad Pro"/>
                <w:sz w:val="22"/>
                <w:szCs w:val="22"/>
              </w:rPr>
              <w:t>Ensure compliance with Strive for 5 guidelines</w:t>
            </w:r>
            <w:r w:rsidR="00A747ED" w:rsidRPr="00EF131D">
              <w:rPr>
                <w:rFonts w:ascii="Myriad Pro" w:hAnsi="Myriad Pro"/>
                <w:sz w:val="22"/>
                <w:szCs w:val="22"/>
              </w:rPr>
              <w:t>, including but not limited to</w:t>
            </w:r>
            <w:r w:rsidR="004B2B7A" w:rsidRPr="00EF131D">
              <w:rPr>
                <w:rFonts w:ascii="Myriad Pro" w:hAnsi="Myriad Pro"/>
                <w:sz w:val="22"/>
                <w:szCs w:val="22"/>
              </w:rPr>
              <w:t xml:space="preserve"> coolers and ice packs</w:t>
            </w:r>
          </w:p>
        </w:tc>
        <w:tc>
          <w:tcPr>
            <w:tcW w:w="3006" w:type="dxa"/>
          </w:tcPr>
          <w:p w14:paraId="5098B143" w14:textId="0E9E461A" w:rsidR="00FB14A0" w:rsidRPr="00EF131D" w:rsidRDefault="00162755" w:rsidP="002512E2">
            <w:pPr>
              <w:rPr>
                <w:rFonts w:ascii="Myriad Pro" w:hAnsi="Myriad Pro"/>
                <w:sz w:val="22"/>
                <w:szCs w:val="22"/>
              </w:rPr>
            </w:pPr>
            <w:hyperlink r:id="rId24" w:history="1">
              <w:r w:rsidRPr="00EF131D">
                <w:rPr>
                  <w:rStyle w:val="Hyperlink"/>
                  <w:rFonts w:ascii="Myriad Pro" w:hAnsi="Myriad Pro"/>
                  <w:sz w:val="22"/>
                  <w:szCs w:val="22"/>
                </w:rPr>
                <w:t>National Vaccine Storage Guidelines – Strive for 5, 3rd edition</w:t>
              </w:r>
            </w:hyperlink>
          </w:p>
        </w:tc>
      </w:tr>
      <w:tr w:rsidR="004B2B7A" w:rsidRPr="00EF131D" w14:paraId="5E59EE38" w14:textId="77777777" w:rsidTr="00EF76F5">
        <w:tc>
          <w:tcPr>
            <w:tcW w:w="421" w:type="dxa"/>
          </w:tcPr>
          <w:p w14:paraId="3A1CEF7C" w14:textId="77777777" w:rsidR="004B2B7A" w:rsidRPr="00EF131D" w:rsidRDefault="004B2B7A" w:rsidP="002512E2">
            <w:pPr>
              <w:rPr>
                <w:rFonts w:ascii="Myriad Pro" w:hAnsi="Myriad Pro"/>
                <w:sz w:val="22"/>
                <w:szCs w:val="22"/>
              </w:rPr>
            </w:pPr>
          </w:p>
        </w:tc>
        <w:tc>
          <w:tcPr>
            <w:tcW w:w="5589" w:type="dxa"/>
          </w:tcPr>
          <w:p w14:paraId="730DEC18" w14:textId="77777777" w:rsidR="004B2B7A" w:rsidRPr="00EF131D" w:rsidRDefault="00184E0B" w:rsidP="002512E2">
            <w:pPr>
              <w:rPr>
                <w:rFonts w:ascii="Myriad Pro" w:hAnsi="Myriad Pro"/>
                <w:sz w:val="22"/>
                <w:szCs w:val="22"/>
              </w:rPr>
            </w:pPr>
            <w:r w:rsidRPr="00EF131D">
              <w:rPr>
                <w:rFonts w:ascii="Myriad Pro" w:hAnsi="Myriad Pro"/>
                <w:sz w:val="22"/>
                <w:szCs w:val="22"/>
              </w:rPr>
              <w:t>Ensure accessibility to the Australian Immunisation Record</w:t>
            </w:r>
            <w:r w:rsidR="00DF48A4" w:rsidRPr="00EF131D">
              <w:rPr>
                <w:rFonts w:ascii="Myriad Pro" w:hAnsi="Myriad Pro"/>
                <w:sz w:val="22"/>
                <w:szCs w:val="22"/>
              </w:rPr>
              <w:t xml:space="preserve"> to confirm appropriateness of vaccination and to record vaccinations in a timely manner</w:t>
            </w:r>
            <w:r w:rsidR="001442ED" w:rsidRPr="00EF131D">
              <w:rPr>
                <w:rFonts w:ascii="Myriad Pro" w:hAnsi="Myriad Pro"/>
                <w:sz w:val="22"/>
                <w:szCs w:val="22"/>
              </w:rPr>
              <w:t>.</w:t>
            </w:r>
          </w:p>
          <w:p w14:paraId="14D57762" w14:textId="77777777" w:rsidR="001442ED" w:rsidRPr="00EF131D" w:rsidRDefault="001442ED" w:rsidP="002512E2">
            <w:pPr>
              <w:rPr>
                <w:rFonts w:ascii="Myriad Pro" w:hAnsi="Myriad Pro"/>
                <w:sz w:val="22"/>
                <w:szCs w:val="22"/>
              </w:rPr>
            </w:pPr>
          </w:p>
          <w:p w14:paraId="031C469C" w14:textId="5D18B19C" w:rsidR="001442ED" w:rsidRPr="00EF131D" w:rsidRDefault="001442ED" w:rsidP="002512E2">
            <w:pPr>
              <w:rPr>
                <w:rFonts w:ascii="Myriad Pro" w:hAnsi="Myriad Pro"/>
                <w:sz w:val="22"/>
                <w:szCs w:val="22"/>
              </w:rPr>
            </w:pPr>
            <w:r w:rsidRPr="00EF131D">
              <w:rPr>
                <w:rFonts w:ascii="Myriad Pro" w:hAnsi="Myriad Pro"/>
                <w:sz w:val="22"/>
                <w:szCs w:val="22"/>
              </w:rPr>
              <w:t>Access may be best via professional services software.</w:t>
            </w:r>
          </w:p>
        </w:tc>
        <w:tc>
          <w:tcPr>
            <w:tcW w:w="3006" w:type="dxa"/>
          </w:tcPr>
          <w:p w14:paraId="6ECD8AFD" w14:textId="74B9F68E" w:rsidR="004B2B7A" w:rsidRPr="00EF131D" w:rsidRDefault="0019614B" w:rsidP="002512E2">
            <w:pPr>
              <w:rPr>
                <w:rFonts w:ascii="Myriad Pro" w:hAnsi="Myriad Pro"/>
                <w:sz w:val="22"/>
                <w:szCs w:val="22"/>
              </w:rPr>
            </w:pPr>
            <w:hyperlink r:id="rId25" w:anchor="accordion1" w:history="1">
              <w:r w:rsidRPr="00EF131D">
                <w:rPr>
                  <w:rStyle w:val="Hyperlink"/>
                  <w:rFonts w:ascii="Myriad Pro" w:hAnsi="Myriad Pro"/>
                  <w:sz w:val="22"/>
                  <w:szCs w:val="22"/>
                </w:rPr>
                <w:t>Manage immunisation records in AIR - Health professionals - Services Australia</w:t>
              </w:r>
            </w:hyperlink>
          </w:p>
        </w:tc>
      </w:tr>
      <w:tr w:rsidR="00BB0D21" w:rsidRPr="00EF131D" w14:paraId="2139ED73" w14:textId="77777777" w:rsidTr="00EF76F5">
        <w:tc>
          <w:tcPr>
            <w:tcW w:w="421" w:type="dxa"/>
          </w:tcPr>
          <w:p w14:paraId="4FDD0C2C" w14:textId="77777777" w:rsidR="00BB0D21" w:rsidRPr="00EF131D" w:rsidRDefault="00BB0D21" w:rsidP="002512E2">
            <w:pPr>
              <w:rPr>
                <w:rFonts w:ascii="Myriad Pro" w:hAnsi="Myriad Pro"/>
                <w:sz w:val="22"/>
                <w:szCs w:val="22"/>
              </w:rPr>
            </w:pPr>
          </w:p>
        </w:tc>
        <w:tc>
          <w:tcPr>
            <w:tcW w:w="5589" w:type="dxa"/>
          </w:tcPr>
          <w:p w14:paraId="565F93F4" w14:textId="77777777" w:rsidR="00BF3F0A" w:rsidRPr="00EF131D" w:rsidRDefault="00D75EBD" w:rsidP="002512E2">
            <w:pPr>
              <w:rPr>
                <w:rFonts w:ascii="Myriad Pro" w:hAnsi="Myriad Pro"/>
                <w:sz w:val="22"/>
                <w:szCs w:val="22"/>
              </w:rPr>
            </w:pPr>
            <w:r w:rsidRPr="00EF131D">
              <w:rPr>
                <w:rFonts w:ascii="Myriad Pro" w:hAnsi="Myriad Pro"/>
                <w:sz w:val="22"/>
                <w:szCs w:val="22"/>
              </w:rPr>
              <w:t xml:space="preserve">Prepare </w:t>
            </w:r>
            <w:r w:rsidR="00D40015" w:rsidRPr="00EF131D">
              <w:rPr>
                <w:rFonts w:ascii="Myriad Pro" w:hAnsi="Myriad Pro"/>
                <w:sz w:val="22"/>
                <w:szCs w:val="22"/>
              </w:rPr>
              <w:t xml:space="preserve">sharps </w:t>
            </w:r>
            <w:r w:rsidR="006F449B" w:rsidRPr="00EF131D">
              <w:rPr>
                <w:rFonts w:ascii="Myriad Pro" w:hAnsi="Myriad Pro"/>
                <w:sz w:val="22"/>
                <w:szCs w:val="22"/>
              </w:rPr>
              <w:t>and sharps disposal equipment</w:t>
            </w:r>
            <w:r w:rsidR="00DF48A4" w:rsidRPr="00EF131D">
              <w:rPr>
                <w:rFonts w:ascii="Myriad Pro" w:hAnsi="Myriad Pro"/>
                <w:sz w:val="22"/>
                <w:szCs w:val="22"/>
              </w:rPr>
              <w:t xml:space="preserve">. </w:t>
            </w:r>
          </w:p>
          <w:p w14:paraId="614BB73D" w14:textId="77777777" w:rsidR="00BF3F0A" w:rsidRPr="00EF131D" w:rsidRDefault="00BF3F0A" w:rsidP="002512E2">
            <w:pPr>
              <w:rPr>
                <w:rFonts w:ascii="Myriad Pro" w:hAnsi="Myriad Pro"/>
                <w:sz w:val="22"/>
                <w:szCs w:val="22"/>
              </w:rPr>
            </w:pPr>
          </w:p>
          <w:p w14:paraId="73B357CF" w14:textId="2BBBDE4B" w:rsidR="002E4F92" w:rsidRPr="00EF131D" w:rsidRDefault="00DF48A4" w:rsidP="002512E2">
            <w:pPr>
              <w:rPr>
                <w:rFonts w:ascii="Myriad Pro" w:hAnsi="Myriad Pro"/>
                <w:sz w:val="22"/>
                <w:szCs w:val="22"/>
              </w:rPr>
            </w:pPr>
            <w:r w:rsidRPr="00EF131D">
              <w:rPr>
                <w:rFonts w:ascii="Myriad Pro" w:hAnsi="Myriad Pro"/>
                <w:sz w:val="22"/>
                <w:szCs w:val="22"/>
              </w:rPr>
              <w:t xml:space="preserve">Ensure sufficient sharps disposal options are available and that sharps can be safely transported between vaccination site and </w:t>
            </w:r>
            <w:r w:rsidR="00AD2687" w:rsidRPr="00EF131D">
              <w:rPr>
                <w:rFonts w:ascii="Myriad Pro" w:hAnsi="Myriad Pro"/>
                <w:sz w:val="22"/>
                <w:szCs w:val="22"/>
              </w:rPr>
              <w:t>pharmacy.</w:t>
            </w:r>
          </w:p>
          <w:p w14:paraId="0CDAFDAE" w14:textId="77777777" w:rsidR="00BF3F0A" w:rsidRPr="00EF131D" w:rsidRDefault="00BF3F0A" w:rsidP="002512E2">
            <w:pPr>
              <w:rPr>
                <w:rFonts w:ascii="Myriad Pro" w:hAnsi="Myriad Pro"/>
                <w:sz w:val="22"/>
                <w:szCs w:val="22"/>
              </w:rPr>
            </w:pPr>
          </w:p>
          <w:p w14:paraId="6E28CFFE" w14:textId="30C190C1" w:rsidR="001A0A27" w:rsidRPr="00EF131D" w:rsidRDefault="001A0A27" w:rsidP="002512E2">
            <w:pPr>
              <w:rPr>
                <w:rFonts w:ascii="Myriad Pro" w:hAnsi="Myriad Pro"/>
                <w:sz w:val="22"/>
                <w:szCs w:val="22"/>
              </w:rPr>
            </w:pPr>
            <w:r w:rsidRPr="00EF131D">
              <w:rPr>
                <w:rFonts w:ascii="Myriad Pro" w:hAnsi="Myriad Pro"/>
                <w:sz w:val="22"/>
                <w:szCs w:val="22"/>
              </w:rPr>
              <w:t>Consider your Infection Control Management Plan.</w:t>
            </w:r>
          </w:p>
        </w:tc>
        <w:tc>
          <w:tcPr>
            <w:tcW w:w="3006" w:type="dxa"/>
          </w:tcPr>
          <w:p w14:paraId="2EC04593" w14:textId="6D7C45F1" w:rsidR="00BB0D21" w:rsidRPr="00EF131D" w:rsidRDefault="00BB0D21" w:rsidP="002512E2">
            <w:pPr>
              <w:rPr>
                <w:rFonts w:ascii="Myriad Pro" w:hAnsi="Myriad Pro"/>
                <w:sz w:val="22"/>
                <w:szCs w:val="22"/>
              </w:rPr>
            </w:pPr>
          </w:p>
        </w:tc>
      </w:tr>
    </w:tbl>
    <w:p w14:paraId="249DE623" w14:textId="77777777" w:rsidR="002512E2" w:rsidRPr="00EF131D" w:rsidRDefault="002512E2" w:rsidP="00EF131D">
      <w:pPr>
        <w:rPr>
          <w:rFonts w:ascii="Myriad Pro" w:hAnsi="Myriad Pro"/>
        </w:rPr>
      </w:pPr>
    </w:p>
    <w:sectPr w:rsidR="002512E2" w:rsidRPr="00EF131D">
      <w:headerReference w:type="defaul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zabeth Whitehead" w:date="2025-11-20T13:52:00Z" w:initials="EW">
    <w:p w14:paraId="5571EA91" w14:textId="77777777" w:rsidR="00E82E54" w:rsidRDefault="00E82E54" w:rsidP="00E82E54">
      <w:pPr>
        <w:pStyle w:val="CommentText"/>
      </w:pPr>
      <w:r>
        <w:rPr>
          <w:rStyle w:val="CommentReference"/>
        </w:rPr>
        <w:annotationRef/>
      </w:r>
      <w:r>
        <w:t>Will need to link once this has a home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1E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41ABFD" w16cex:dateUtc="2025-11-20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1EA91" w16cid:durableId="1241AB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053E" w14:textId="77777777" w:rsidR="0001736A" w:rsidRDefault="0001736A" w:rsidP="00EF131D">
      <w:pPr>
        <w:spacing w:after="0" w:line="240" w:lineRule="auto"/>
      </w:pPr>
      <w:r>
        <w:separator/>
      </w:r>
    </w:p>
  </w:endnote>
  <w:endnote w:type="continuationSeparator" w:id="0">
    <w:p w14:paraId="29DDDF6D" w14:textId="77777777" w:rsidR="0001736A" w:rsidRDefault="0001736A" w:rsidP="00EF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2AEC" w14:textId="77777777" w:rsidR="0001736A" w:rsidRDefault="0001736A" w:rsidP="00EF131D">
      <w:pPr>
        <w:spacing w:after="0" w:line="240" w:lineRule="auto"/>
      </w:pPr>
      <w:r>
        <w:separator/>
      </w:r>
    </w:p>
  </w:footnote>
  <w:footnote w:type="continuationSeparator" w:id="0">
    <w:p w14:paraId="34386B90" w14:textId="77777777" w:rsidR="0001736A" w:rsidRDefault="0001736A" w:rsidP="00EF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86E3" w14:textId="6BC386C1" w:rsidR="00EF131D" w:rsidRDefault="00EF131D">
    <w:pPr>
      <w:pStyle w:val="Header"/>
    </w:pPr>
    <w:r>
      <w:rPr>
        <w:noProof/>
      </w:rPr>
      <w:drawing>
        <wp:anchor distT="0" distB="0" distL="114300" distR="114300" simplePos="0" relativeHeight="251659264" behindDoc="1" locked="0" layoutInCell="1" allowOverlap="1" wp14:anchorId="471584BC" wp14:editId="1F920C6C">
          <wp:simplePos x="0" y="0"/>
          <wp:positionH relativeFrom="margin">
            <wp:posOffset>0</wp:posOffset>
          </wp:positionH>
          <wp:positionV relativeFrom="paragraph">
            <wp:posOffset>-635</wp:posOffset>
          </wp:positionV>
          <wp:extent cx="1854000" cy="619200"/>
          <wp:effectExtent l="0" t="0" r="0" b="0"/>
          <wp:wrapNone/>
          <wp:docPr id="1475475630" name="Picture 1" descr="A black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75630" name="Picture 1" descr="A black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4000" cy="619200"/>
                  </a:xfrm>
                  <a:prstGeom prst="rect">
                    <a:avLst/>
                  </a:prstGeom>
                </pic:spPr>
              </pic:pic>
            </a:graphicData>
          </a:graphic>
          <wp14:sizeRelH relativeFrom="margin">
            <wp14:pctWidth>0</wp14:pctWidth>
          </wp14:sizeRelH>
          <wp14:sizeRelV relativeFrom="margin">
            <wp14:pctHeight>0</wp14:pctHeight>
          </wp14:sizeRelV>
        </wp:anchor>
      </w:drawing>
    </w:r>
  </w:p>
  <w:p w14:paraId="3FA0D518" w14:textId="77777777" w:rsidR="00EF131D" w:rsidRDefault="00EF131D">
    <w:pPr>
      <w:pStyle w:val="Header"/>
    </w:pPr>
  </w:p>
  <w:p w14:paraId="7BDE05A8" w14:textId="77777777" w:rsidR="00EF131D" w:rsidRDefault="00EF131D">
    <w:pPr>
      <w:pStyle w:val="Header"/>
    </w:pPr>
  </w:p>
  <w:p w14:paraId="0751E4CF" w14:textId="77777777" w:rsidR="00EF131D" w:rsidRDefault="00EF1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640E4"/>
    <w:multiLevelType w:val="hybridMultilevel"/>
    <w:tmpl w:val="39F4C4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33741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Whitehead">
    <w15:presenceInfo w15:providerId="AD" w15:userId="S::whiteheade@qldguild.org.au::b5a574f4-cd50-49ec-a7f0-f05ab8bd8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E2"/>
    <w:rsid w:val="0001736A"/>
    <w:rsid w:val="00046EF2"/>
    <w:rsid w:val="000A29E3"/>
    <w:rsid w:val="000A6735"/>
    <w:rsid w:val="000C51CA"/>
    <w:rsid w:val="000D411B"/>
    <w:rsid w:val="000E0B7F"/>
    <w:rsid w:val="00111640"/>
    <w:rsid w:val="00122B07"/>
    <w:rsid w:val="001442ED"/>
    <w:rsid w:val="00162755"/>
    <w:rsid w:val="00175341"/>
    <w:rsid w:val="00184E0B"/>
    <w:rsid w:val="0019614B"/>
    <w:rsid w:val="001A0A27"/>
    <w:rsid w:val="001E50DF"/>
    <w:rsid w:val="00243B9D"/>
    <w:rsid w:val="002512E2"/>
    <w:rsid w:val="002C4BBE"/>
    <w:rsid w:val="002E4F92"/>
    <w:rsid w:val="00300AE9"/>
    <w:rsid w:val="00330FA7"/>
    <w:rsid w:val="00414404"/>
    <w:rsid w:val="00433359"/>
    <w:rsid w:val="004B1F68"/>
    <w:rsid w:val="004B2B7A"/>
    <w:rsid w:val="004B5A59"/>
    <w:rsid w:val="00543B1C"/>
    <w:rsid w:val="005B61C0"/>
    <w:rsid w:val="006216F8"/>
    <w:rsid w:val="006C6AEE"/>
    <w:rsid w:val="006F449B"/>
    <w:rsid w:val="007623D1"/>
    <w:rsid w:val="0078421F"/>
    <w:rsid w:val="007A0009"/>
    <w:rsid w:val="007B0259"/>
    <w:rsid w:val="007C2DDC"/>
    <w:rsid w:val="007E60B1"/>
    <w:rsid w:val="007E795D"/>
    <w:rsid w:val="00804B73"/>
    <w:rsid w:val="00832B66"/>
    <w:rsid w:val="008E2650"/>
    <w:rsid w:val="008E76D2"/>
    <w:rsid w:val="009579EC"/>
    <w:rsid w:val="00A11213"/>
    <w:rsid w:val="00A14897"/>
    <w:rsid w:val="00A148FA"/>
    <w:rsid w:val="00A30BBC"/>
    <w:rsid w:val="00A40E22"/>
    <w:rsid w:val="00A747ED"/>
    <w:rsid w:val="00AD2687"/>
    <w:rsid w:val="00B13BD4"/>
    <w:rsid w:val="00B27914"/>
    <w:rsid w:val="00B872E2"/>
    <w:rsid w:val="00BB0D21"/>
    <w:rsid w:val="00BC6883"/>
    <w:rsid w:val="00BE558D"/>
    <w:rsid w:val="00BF3F0A"/>
    <w:rsid w:val="00C16B9D"/>
    <w:rsid w:val="00CA1133"/>
    <w:rsid w:val="00CA3213"/>
    <w:rsid w:val="00CD5D86"/>
    <w:rsid w:val="00CF39E9"/>
    <w:rsid w:val="00D40015"/>
    <w:rsid w:val="00D56178"/>
    <w:rsid w:val="00D75EBD"/>
    <w:rsid w:val="00D869B2"/>
    <w:rsid w:val="00DE30BE"/>
    <w:rsid w:val="00DF48A4"/>
    <w:rsid w:val="00E21BD5"/>
    <w:rsid w:val="00E82E54"/>
    <w:rsid w:val="00E926D0"/>
    <w:rsid w:val="00EA5097"/>
    <w:rsid w:val="00EA7C8C"/>
    <w:rsid w:val="00EC470A"/>
    <w:rsid w:val="00EF131D"/>
    <w:rsid w:val="00EF76F5"/>
    <w:rsid w:val="00FB14A0"/>
    <w:rsid w:val="00FC1D3F"/>
    <w:rsid w:val="00FD4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BFBE"/>
  <w15:chartTrackingRefBased/>
  <w15:docId w15:val="{AAFCC2FD-9786-4BF4-BACD-3BF86FBD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2E2"/>
    <w:rPr>
      <w:rFonts w:eastAsiaTheme="majorEastAsia" w:cstheme="majorBidi"/>
      <w:color w:val="272727" w:themeColor="text1" w:themeTint="D8"/>
    </w:rPr>
  </w:style>
  <w:style w:type="paragraph" w:styleId="Title">
    <w:name w:val="Title"/>
    <w:basedOn w:val="Normal"/>
    <w:next w:val="Normal"/>
    <w:link w:val="TitleChar"/>
    <w:uiPriority w:val="10"/>
    <w:qFormat/>
    <w:rsid w:val="00251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2E2"/>
    <w:pPr>
      <w:spacing w:before="160"/>
      <w:jc w:val="center"/>
    </w:pPr>
    <w:rPr>
      <w:i/>
      <w:iCs/>
      <w:color w:val="404040" w:themeColor="text1" w:themeTint="BF"/>
    </w:rPr>
  </w:style>
  <w:style w:type="character" w:customStyle="1" w:styleId="QuoteChar">
    <w:name w:val="Quote Char"/>
    <w:basedOn w:val="DefaultParagraphFont"/>
    <w:link w:val="Quote"/>
    <w:uiPriority w:val="29"/>
    <w:rsid w:val="002512E2"/>
    <w:rPr>
      <w:i/>
      <w:iCs/>
      <w:color w:val="404040" w:themeColor="text1" w:themeTint="BF"/>
    </w:rPr>
  </w:style>
  <w:style w:type="paragraph" w:styleId="ListParagraph">
    <w:name w:val="List Paragraph"/>
    <w:basedOn w:val="Normal"/>
    <w:link w:val="ListParagraphChar"/>
    <w:uiPriority w:val="34"/>
    <w:qFormat/>
    <w:rsid w:val="002512E2"/>
    <w:pPr>
      <w:ind w:left="720"/>
      <w:contextualSpacing/>
    </w:pPr>
  </w:style>
  <w:style w:type="character" w:styleId="IntenseEmphasis">
    <w:name w:val="Intense Emphasis"/>
    <w:basedOn w:val="DefaultParagraphFont"/>
    <w:uiPriority w:val="21"/>
    <w:qFormat/>
    <w:rsid w:val="002512E2"/>
    <w:rPr>
      <w:i/>
      <w:iCs/>
      <w:color w:val="0F4761" w:themeColor="accent1" w:themeShade="BF"/>
    </w:rPr>
  </w:style>
  <w:style w:type="paragraph" w:styleId="IntenseQuote">
    <w:name w:val="Intense Quote"/>
    <w:basedOn w:val="Normal"/>
    <w:next w:val="Normal"/>
    <w:link w:val="IntenseQuoteChar"/>
    <w:uiPriority w:val="30"/>
    <w:qFormat/>
    <w:rsid w:val="00251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2E2"/>
    <w:rPr>
      <w:i/>
      <w:iCs/>
      <w:color w:val="0F4761" w:themeColor="accent1" w:themeShade="BF"/>
    </w:rPr>
  </w:style>
  <w:style w:type="character" w:styleId="IntenseReference">
    <w:name w:val="Intense Reference"/>
    <w:basedOn w:val="DefaultParagraphFont"/>
    <w:uiPriority w:val="32"/>
    <w:qFormat/>
    <w:rsid w:val="002512E2"/>
    <w:rPr>
      <w:b/>
      <w:bCs/>
      <w:smallCaps/>
      <w:color w:val="0F4761" w:themeColor="accent1" w:themeShade="BF"/>
      <w:spacing w:val="5"/>
    </w:rPr>
  </w:style>
  <w:style w:type="table" w:styleId="TableGrid">
    <w:name w:val="Table Grid"/>
    <w:basedOn w:val="TableNormal"/>
    <w:uiPriority w:val="39"/>
    <w:rsid w:val="00E9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0009"/>
    <w:rPr>
      <w:color w:val="467886" w:themeColor="hyperlink"/>
      <w:u w:val="single"/>
    </w:rPr>
  </w:style>
  <w:style w:type="character" w:styleId="UnresolvedMention">
    <w:name w:val="Unresolved Mention"/>
    <w:basedOn w:val="DefaultParagraphFont"/>
    <w:uiPriority w:val="99"/>
    <w:semiHidden/>
    <w:unhideWhenUsed/>
    <w:rsid w:val="007A0009"/>
    <w:rPr>
      <w:color w:val="605E5C"/>
      <w:shd w:val="clear" w:color="auto" w:fill="E1DFDD"/>
    </w:rPr>
  </w:style>
  <w:style w:type="character" w:customStyle="1" w:styleId="ListParagraphChar">
    <w:name w:val="List Paragraph Char"/>
    <w:basedOn w:val="DefaultParagraphFont"/>
    <w:link w:val="ListParagraph"/>
    <w:uiPriority w:val="34"/>
    <w:rsid w:val="00046EF2"/>
  </w:style>
  <w:style w:type="character" w:styleId="CommentReference">
    <w:name w:val="annotation reference"/>
    <w:basedOn w:val="DefaultParagraphFont"/>
    <w:uiPriority w:val="99"/>
    <w:semiHidden/>
    <w:unhideWhenUsed/>
    <w:rsid w:val="00E82E54"/>
    <w:rPr>
      <w:sz w:val="16"/>
      <w:szCs w:val="16"/>
    </w:rPr>
  </w:style>
  <w:style w:type="paragraph" w:styleId="CommentText">
    <w:name w:val="annotation text"/>
    <w:basedOn w:val="Normal"/>
    <w:link w:val="CommentTextChar"/>
    <w:uiPriority w:val="99"/>
    <w:unhideWhenUsed/>
    <w:rsid w:val="00E82E54"/>
    <w:pPr>
      <w:spacing w:line="240" w:lineRule="auto"/>
    </w:pPr>
    <w:rPr>
      <w:sz w:val="20"/>
      <w:szCs w:val="20"/>
    </w:rPr>
  </w:style>
  <w:style w:type="character" w:customStyle="1" w:styleId="CommentTextChar">
    <w:name w:val="Comment Text Char"/>
    <w:basedOn w:val="DefaultParagraphFont"/>
    <w:link w:val="CommentText"/>
    <w:uiPriority w:val="99"/>
    <w:rsid w:val="00E82E54"/>
    <w:rPr>
      <w:sz w:val="20"/>
      <w:szCs w:val="20"/>
    </w:rPr>
  </w:style>
  <w:style w:type="paragraph" w:styleId="CommentSubject">
    <w:name w:val="annotation subject"/>
    <w:basedOn w:val="CommentText"/>
    <w:next w:val="CommentText"/>
    <w:link w:val="CommentSubjectChar"/>
    <w:uiPriority w:val="99"/>
    <w:semiHidden/>
    <w:unhideWhenUsed/>
    <w:rsid w:val="00E82E54"/>
    <w:rPr>
      <w:b/>
      <w:bCs/>
    </w:rPr>
  </w:style>
  <w:style w:type="character" w:customStyle="1" w:styleId="CommentSubjectChar">
    <w:name w:val="Comment Subject Char"/>
    <w:basedOn w:val="CommentTextChar"/>
    <w:link w:val="CommentSubject"/>
    <w:uiPriority w:val="99"/>
    <w:semiHidden/>
    <w:rsid w:val="00E82E54"/>
    <w:rPr>
      <w:b/>
      <w:bCs/>
      <w:sz w:val="20"/>
      <w:szCs w:val="20"/>
    </w:rPr>
  </w:style>
  <w:style w:type="paragraph" w:styleId="Header">
    <w:name w:val="header"/>
    <w:basedOn w:val="Normal"/>
    <w:link w:val="HeaderChar"/>
    <w:uiPriority w:val="99"/>
    <w:unhideWhenUsed/>
    <w:rsid w:val="00EF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31D"/>
  </w:style>
  <w:style w:type="paragraph" w:styleId="Footer">
    <w:name w:val="footer"/>
    <w:basedOn w:val="Normal"/>
    <w:link w:val="FooterChar"/>
    <w:uiPriority w:val="99"/>
    <w:unhideWhenUsed/>
    <w:rsid w:val="00EF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9864">
      <w:bodyDiv w:val="1"/>
      <w:marLeft w:val="0"/>
      <w:marRight w:val="0"/>
      <w:marTop w:val="0"/>
      <w:marBottom w:val="0"/>
      <w:divBdr>
        <w:top w:val="none" w:sz="0" w:space="0" w:color="auto"/>
        <w:left w:val="none" w:sz="0" w:space="0" w:color="auto"/>
        <w:bottom w:val="none" w:sz="0" w:space="0" w:color="auto"/>
        <w:right w:val="none" w:sz="0" w:space="0" w:color="auto"/>
      </w:divBdr>
    </w:div>
    <w:div w:id="1472942491">
      <w:bodyDiv w:val="1"/>
      <w:marLeft w:val="0"/>
      <w:marRight w:val="0"/>
      <w:marTop w:val="0"/>
      <w:marBottom w:val="0"/>
      <w:divBdr>
        <w:top w:val="none" w:sz="0" w:space="0" w:color="auto"/>
        <w:left w:val="none" w:sz="0" w:space="0" w:color="auto"/>
        <w:bottom w:val="none" w:sz="0" w:space="0" w:color="auto"/>
        <w:right w:val="none" w:sz="0" w:space="0" w:color="auto"/>
      </w:divBdr>
    </w:div>
    <w:div w:id="1694913058">
      <w:bodyDiv w:val="1"/>
      <w:marLeft w:val="0"/>
      <w:marRight w:val="0"/>
      <w:marTop w:val="0"/>
      <w:marBottom w:val="0"/>
      <w:divBdr>
        <w:top w:val="none" w:sz="0" w:space="0" w:color="auto"/>
        <w:left w:val="none" w:sz="0" w:space="0" w:color="auto"/>
        <w:bottom w:val="none" w:sz="0" w:space="0" w:color="auto"/>
        <w:right w:val="none" w:sz="0" w:space="0" w:color="auto"/>
      </w:divBdr>
    </w:div>
    <w:div w:id="19455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health.qld.gov.au/__data/assets/pdf_file/0027/1108944/epa-pharmacists.pdf" TargetMode="External"/><Relationship Id="rId18" Type="http://schemas.openxmlformats.org/officeDocument/2006/relationships/hyperlink" Target="https://www.health.qld.gov.au/__data/assets/pdf_file/0027/1108944/epa-pharmacists.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health.qld.gov.au/system-governance/licences/medicines-poisons/medicines-poisons-act/legislation-standards" TargetMode="External"/><Relationship Id="rId7" Type="http://schemas.openxmlformats.org/officeDocument/2006/relationships/hyperlink" Target="https://www.health.qld.gov.au/__data/assets/pdf_file/0027/1108944/epa-pharmacists.pdf" TargetMode="External"/><Relationship Id="rId12" Type="http://schemas.openxmlformats.org/officeDocument/2006/relationships/hyperlink" Target="https://www.health.qld.gov.au/__data/assets/pdf_file/0027/1108944/epa-pharmacists.pdf" TargetMode="External"/><Relationship Id="rId17" Type="http://schemas.openxmlformats.org/officeDocument/2006/relationships/hyperlink" Target="https://www.health.qld.gov.au/clinical-practice/guidelines-procedures/diseases-infection/immunisation/schedule/schools" TargetMode="External"/><Relationship Id="rId25" Type="http://schemas.openxmlformats.org/officeDocument/2006/relationships/hyperlink" Target="https://www.servicesaustralia.gov.au/manage-immunisation-records-air?context=20" TargetMode="External"/><Relationship Id="rId2" Type="http://schemas.openxmlformats.org/officeDocument/2006/relationships/styles" Target="styles.xml"/><Relationship Id="rId16" Type="http://schemas.openxmlformats.org/officeDocument/2006/relationships/hyperlink" Target="https://www.guild.org.au/guild-branches/qld/professional-services/medicines-and-poisons-act-and-regulations" TargetMode="External"/><Relationship Id="rId20" Type="http://schemas.openxmlformats.org/officeDocument/2006/relationships/hyperlink" Target="https://www.health.qld.gov.au/__data/assets/pdf_file/0027/1108944/epa-pharmacist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www.health.gov.au/sites/default/files/2025-10/national-vaccine-storage-guidelines-strive-for-5.pdf" TargetMode="External"/><Relationship Id="rId5" Type="http://schemas.openxmlformats.org/officeDocument/2006/relationships/footnotes" Target="footnotes.xml"/><Relationship Id="rId15" Type="http://schemas.openxmlformats.org/officeDocument/2006/relationships/hyperlink" Target="https://www.health.qld.gov.au/system-governance/licences/medicines-poisons/medicines/substance-management-plans" TargetMode="External"/><Relationship Id="rId23" Type="http://schemas.openxmlformats.org/officeDocument/2006/relationships/hyperlink" Target="https://www.health.qld.gov.au/consent/clinician-resources/guide-to-informed-decision-making-in-healthcare"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health.qld.gov.au/system-governance/licences/medicines-poisons/medicines-poisons-act/legislation-standards"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health.qld.gov.au/__data/assets/pdf_file/0024/1313178/app-ga-immunisation-pharmacist-initial.pdf" TargetMode="External"/><Relationship Id="rId22" Type="http://schemas.openxmlformats.org/officeDocument/2006/relationships/hyperlink" Target="https://www.health.qld.gov.au/clinical-practice/guidelines-procedures/diseases-infection/immunisation/schedul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700</Words>
  <Characters>4406</Characters>
  <Application>Microsoft Office Word</Application>
  <DocSecurity>0</DocSecurity>
  <Lines>169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Harper</dc:creator>
  <cp:keywords/>
  <dc:description/>
  <cp:lastModifiedBy>Connor Anderson</cp:lastModifiedBy>
  <cp:revision>4</cp:revision>
  <dcterms:created xsi:type="dcterms:W3CDTF">2025-11-20T03:50:00Z</dcterms:created>
  <dcterms:modified xsi:type="dcterms:W3CDTF">2025-12-11T02:06:00Z</dcterms:modified>
</cp:coreProperties>
</file>